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FE34AF" w14:textId="6A8028CD" w:rsidR="00346F8D" w:rsidRPr="00F32452" w:rsidRDefault="003157CE" w:rsidP="00901436">
      <w:pPr>
        <w:spacing w:after="600"/>
        <w:ind w:right="879"/>
        <w:rPr>
          <w:rFonts w:asciiTheme="majorHAnsi" w:hAnsiTheme="majorHAnsi" w:cstheme="majorHAnsi"/>
          <w:b/>
          <w:sz w:val="32"/>
          <w:szCs w:val="20"/>
        </w:rPr>
      </w:pPr>
      <w:r w:rsidRPr="003157CE">
        <w:rPr>
          <w:rFonts w:asciiTheme="majorHAnsi" w:hAnsiTheme="majorHAnsi" w:cstheme="majorHAnsi"/>
          <w:b/>
          <w:sz w:val="32"/>
          <w:szCs w:val="20"/>
        </w:rPr>
        <w:t>COSEL announces 330% peak power 1kW open-frame power supplies for medical and industrial applications</w:t>
      </w:r>
    </w:p>
    <w:p w14:paraId="20380AD2" w14:textId="77777777" w:rsidR="00346F8D" w:rsidRPr="00F32452" w:rsidRDefault="00346F8D" w:rsidP="00901436">
      <w:pPr>
        <w:spacing w:after="0"/>
        <w:ind w:right="877"/>
        <w:rPr>
          <w:rFonts w:asciiTheme="majorHAnsi" w:hAnsiTheme="majorHAnsi" w:cstheme="majorHAnsi"/>
          <w:b/>
          <w:szCs w:val="20"/>
        </w:rPr>
      </w:pPr>
      <w:r w:rsidRPr="00F32452">
        <w:rPr>
          <w:rFonts w:asciiTheme="majorHAnsi" w:hAnsiTheme="majorHAnsi" w:cstheme="majorHAnsi"/>
          <w:b/>
          <w:szCs w:val="20"/>
        </w:rPr>
        <w:t>Press Release</w:t>
      </w:r>
    </w:p>
    <w:p w14:paraId="2103EDB0" w14:textId="25B843F1" w:rsidR="00346F8D" w:rsidRPr="00D50264" w:rsidRDefault="00E704D9" w:rsidP="00901436">
      <w:pPr>
        <w:spacing w:after="240"/>
        <w:ind w:right="879"/>
        <w:rPr>
          <w:rFonts w:asciiTheme="majorHAnsi" w:hAnsiTheme="majorHAnsi" w:cstheme="majorHAnsi"/>
          <w:b/>
          <w:szCs w:val="20"/>
        </w:rPr>
      </w:pPr>
      <w:r w:rsidRPr="00D50264">
        <w:rPr>
          <w:rFonts w:asciiTheme="majorHAnsi" w:hAnsiTheme="majorHAnsi" w:cstheme="majorHAnsi"/>
          <w:b/>
          <w:szCs w:val="20"/>
        </w:rPr>
        <w:t>2021-</w:t>
      </w:r>
      <w:r w:rsidR="003157CE">
        <w:rPr>
          <w:rFonts w:asciiTheme="majorHAnsi" w:hAnsiTheme="majorHAnsi" w:cstheme="majorHAnsi"/>
          <w:b/>
          <w:szCs w:val="20"/>
        </w:rPr>
        <w:t>11-16</w:t>
      </w:r>
    </w:p>
    <w:p w14:paraId="784B0148" w14:textId="77777777" w:rsidR="003157CE" w:rsidRPr="003157CE" w:rsidRDefault="003157CE" w:rsidP="003157CE">
      <w:pPr>
        <w:spacing w:after="0"/>
        <w:ind w:right="879"/>
        <w:rPr>
          <w:rFonts w:asciiTheme="majorHAnsi" w:hAnsiTheme="majorHAnsi" w:cstheme="majorHAnsi"/>
          <w:sz w:val="24"/>
          <w:szCs w:val="20"/>
        </w:rPr>
      </w:pPr>
      <w:r w:rsidRPr="003157CE">
        <w:rPr>
          <w:rFonts w:asciiTheme="majorHAnsi" w:hAnsiTheme="majorHAnsi" w:cstheme="majorHAnsi"/>
          <w:sz w:val="24"/>
          <w:szCs w:val="20"/>
        </w:rPr>
        <w:t>•</w:t>
      </w:r>
      <w:r w:rsidRPr="003157CE">
        <w:rPr>
          <w:rFonts w:asciiTheme="majorHAnsi" w:hAnsiTheme="majorHAnsi" w:cstheme="majorHAnsi"/>
          <w:sz w:val="24"/>
          <w:szCs w:val="20"/>
        </w:rPr>
        <w:tab/>
        <w:t>330% peak power for up to 3,000 milliseconds</w:t>
      </w:r>
    </w:p>
    <w:p w14:paraId="707D1945" w14:textId="77777777" w:rsidR="003157CE" w:rsidRPr="003157CE" w:rsidRDefault="003157CE" w:rsidP="003157CE">
      <w:pPr>
        <w:spacing w:after="0"/>
        <w:ind w:right="879"/>
        <w:rPr>
          <w:rFonts w:asciiTheme="majorHAnsi" w:hAnsiTheme="majorHAnsi" w:cstheme="majorHAnsi"/>
          <w:sz w:val="24"/>
          <w:szCs w:val="20"/>
        </w:rPr>
      </w:pPr>
      <w:r w:rsidRPr="003157CE">
        <w:rPr>
          <w:rFonts w:asciiTheme="majorHAnsi" w:hAnsiTheme="majorHAnsi" w:cstheme="majorHAnsi"/>
          <w:sz w:val="24"/>
          <w:szCs w:val="20"/>
        </w:rPr>
        <w:t>•</w:t>
      </w:r>
      <w:r w:rsidRPr="003157CE">
        <w:rPr>
          <w:rFonts w:asciiTheme="majorHAnsi" w:hAnsiTheme="majorHAnsi" w:cstheme="majorHAnsi"/>
          <w:sz w:val="24"/>
          <w:szCs w:val="20"/>
        </w:rPr>
        <w:tab/>
        <w:t>EN62477-1 OVC III certified for safety in industrial applications</w:t>
      </w:r>
    </w:p>
    <w:p w14:paraId="0A3F5E7C" w14:textId="77777777" w:rsidR="003157CE" w:rsidRPr="003157CE" w:rsidRDefault="003157CE" w:rsidP="003157CE">
      <w:pPr>
        <w:spacing w:after="0"/>
        <w:ind w:right="879"/>
        <w:rPr>
          <w:rFonts w:asciiTheme="majorHAnsi" w:hAnsiTheme="majorHAnsi" w:cstheme="majorHAnsi"/>
          <w:sz w:val="24"/>
          <w:szCs w:val="20"/>
        </w:rPr>
      </w:pPr>
      <w:r w:rsidRPr="003157CE">
        <w:rPr>
          <w:rFonts w:asciiTheme="majorHAnsi" w:hAnsiTheme="majorHAnsi" w:cstheme="majorHAnsi"/>
          <w:sz w:val="24"/>
          <w:szCs w:val="20"/>
        </w:rPr>
        <w:t>•</w:t>
      </w:r>
      <w:r w:rsidRPr="003157CE">
        <w:rPr>
          <w:rFonts w:asciiTheme="majorHAnsi" w:hAnsiTheme="majorHAnsi" w:cstheme="majorHAnsi"/>
          <w:sz w:val="24"/>
          <w:szCs w:val="20"/>
        </w:rPr>
        <w:tab/>
        <w:t>Suitable for medical Body Floating (BF) applications</w:t>
      </w:r>
    </w:p>
    <w:p w14:paraId="3C187C9C" w14:textId="77777777" w:rsidR="003157CE" w:rsidRPr="003157CE" w:rsidRDefault="003157CE" w:rsidP="003157CE">
      <w:pPr>
        <w:spacing w:after="0"/>
        <w:ind w:right="879"/>
        <w:rPr>
          <w:rFonts w:asciiTheme="majorHAnsi" w:hAnsiTheme="majorHAnsi" w:cstheme="majorHAnsi"/>
          <w:sz w:val="24"/>
          <w:szCs w:val="20"/>
        </w:rPr>
      </w:pPr>
      <w:r w:rsidRPr="003157CE">
        <w:rPr>
          <w:rFonts w:asciiTheme="majorHAnsi" w:hAnsiTheme="majorHAnsi" w:cstheme="majorHAnsi"/>
          <w:sz w:val="24"/>
          <w:szCs w:val="20"/>
        </w:rPr>
        <w:t>•</w:t>
      </w:r>
      <w:r w:rsidRPr="003157CE">
        <w:rPr>
          <w:rFonts w:asciiTheme="majorHAnsi" w:hAnsiTheme="majorHAnsi" w:cstheme="majorHAnsi"/>
          <w:sz w:val="24"/>
          <w:szCs w:val="20"/>
        </w:rPr>
        <w:tab/>
        <w:t>Small and compact PCB layout optimized for free-air convection</w:t>
      </w:r>
    </w:p>
    <w:p w14:paraId="1271440B" w14:textId="77777777" w:rsidR="003157CE" w:rsidRPr="003157CE" w:rsidRDefault="003157CE" w:rsidP="003157CE">
      <w:pPr>
        <w:spacing w:after="0"/>
        <w:ind w:right="879"/>
        <w:rPr>
          <w:rFonts w:asciiTheme="majorHAnsi" w:hAnsiTheme="majorHAnsi" w:cstheme="majorHAnsi"/>
          <w:sz w:val="24"/>
          <w:szCs w:val="20"/>
        </w:rPr>
      </w:pPr>
      <w:r w:rsidRPr="003157CE">
        <w:rPr>
          <w:rFonts w:asciiTheme="majorHAnsi" w:hAnsiTheme="majorHAnsi" w:cstheme="majorHAnsi"/>
          <w:sz w:val="24"/>
          <w:szCs w:val="20"/>
        </w:rPr>
        <w:t>•</w:t>
      </w:r>
      <w:r w:rsidRPr="003157CE">
        <w:rPr>
          <w:rFonts w:asciiTheme="majorHAnsi" w:hAnsiTheme="majorHAnsi" w:cstheme="majorHAnsi"/>
          <w:sz w:val="24"/>
          <w:szCs w:val="20"/>
        </w:rPr>
        <w:tab/>
        <w:t>High efficiency to reduce energy consumption</w:t>
      </w:r>
    </w:p>
    <w:p w14:paraId="60C51143" w14:textId="1E4C0588" w:rsidR="003157CE" w:rsidRDefault="003157CE" w:rsidP="003157CE">
      <w:pPr>
        <w:spacing w:after="240"/>
        <w:ind w:right="879"/>
        <w:rPr>
          <w:rFonts w:asciiTheme="majorHAnsi" w:hAnsiTheme="majorHAnsi" w:cstheme="majorHAnsi"/>
          <w:sz w:val="24"/>
          <w:szCs w:val="20"/>
        </w:rPr>
      </w:pPr>
      <w:r w:rsidRPr="003157CE">
        <w:rPr>
          <w:rFonts w:asciiTheme="majorHAnsi" w:hAnsiTheme="majorHAnsi" w:cstheme="majorHAnsi"/>
          <w:sz w:val="24"/>
          <w:szCs w:val="20"/>
        </w:rPr>
        <w:t>•</w:t>
      </w:r>
      <w:r w:rsidRPr="003157CE">
        <w:rPr>
          <w:rFonts w:asciiTheme="majorHAnsi" w:hAnsiTheme="majorHAnsi" w:cstheme="majorHAnsi"/>
          <w:sz w:val="24"/>
          <w:szCs w:val="20"/>
        </w:rPr>
        <w:tab/>
        <w:t>5 year standard warranty</w:t>
      </w:r>
    </w:p>
    <w:p w14:paraId="5758057B" w14:textId="7504648D" w:rsidR="003157CE" w:rsidRDefault="003157CE" w:rsidP="003069B5">
      <w:pPr>
        <w:spacing w:after="240"/>
        <w:ind w:right="877"/>
        <w:rPr>
          <w:rFonts w:asciiTheme="majorHAnsi" w:hAnsiTheme="majorHAnsi" w:cstheme="majorHAnsi"/>
          <w:b/>
          <w:sz w:val="24"/>
          <w:szCs w:val="20"/>
        </w:rPr>
      </w:pPr>
      <w:r w:rsidRPr="003157CE">
        <w:rPr>
          <w:rFonts w:asciiTheme="majorHAnsi" w:hAnsiTheme="majorHAnsi" w:cstheme="majorHAnsi"/>
          <w:b/>
          <w:sz w:val="24"/>
          <w:szCs w:val="20"/>
        </w:rPr>
        <w:t>COSEL Co, Ltd (6905: Tokyo) today announced the introduction of 1,000W free-air convection cooling power supplies, the AEA1000F series. With demanding applications in mind, the AEA1000F is able to deliver 330% peak power for a period of up to 3,000 milliseconds. Designed for applications requiring a high level of safety, the AEA1000F is certified according to the EN62477-1 (OVC III) standard for industrial applications and is approved in accordance with ANSI/AAMI ES60601-1, and EN60601-1 3rd Edition for medical applications. The AEA1000F is suitable for Body Floating (BF) applications and complies with 2MOPP (IN/OUT) and 1MOPP (OUT/FG) safety requirement. The AEA1000F layout is optimized for free-air convection making it ideal for use in equipment being operated in low noise environments.</w:t>
      </w:r>
    </w:p>
    <w:p w14:paraId="2539DE46" w14:textId="77777777" w:rsidR="003157CE" w:rsidRPr="003157CE" w:rsidRDefault="003157CE" w:rsidP="003157CE">
      <w:pPr>
        <w:spacing w:after="240"/>
        <w:ind w:right="877"/>
        <w:rPr>
          <w:rFonts w:asciiTheme="majorHAnsi" w:hAnsiTheme="majorHAnsi" w:cstheme="majorHAnsi"/>
          <w:sz w:val="24"/>
          <w:szCs w:val="20"/>
        </w:rPr>
      </w:pPr>
      <w:r w:rsidRPr="003157CE">
        <w:rPr>
          <w:rFonts w:asciiTheme="majorHAnsi" w:hAnsiTheme="majorHAnsi" w:cstheme="majorHAnsi"/>
          <w:sz w:val="24"/>
          <w:szCs w:val="20"/>
        </w:rPr>
        <w:t xml:space="preserve">With the ever increasing levels of automation in industrial and medical applications, power supplies must be able to deliver extra power during peak operation times as required by dynamic loads e.g., motor startup. To satisfy and sustain such conditions the power supply must be designed with a high dynamic control level and a power stage able to sustain repetitive peak loads. The AEA1000F is able to deliver 330% of its free-air, convection cooled, nominal power during a period of up to 3,000 milliseconds, which is outstanding and responds to the latest market requirements from industrial and medical </w:t>
      </w:r>
      <w:proofErr w:type="spellStart"/>
      <w:r w:rsidRPr="003157CE">
        <w:rPr>
          <w:rFonts w:asciiTheme="majorHAnsi" w:hAnsiTheme="majorHAnsi" w:cstheme="majorHAnsi"/>
          <w:sz w:val="24"/>
          <w:szCs w:val="20"/>
        </w:rPr>
        <w:t>equipments</w:t>
      </w:r>
      <w:proofErr w:type="spellEnd"/>
      <w:r w:rsidRPr="003157CE">
        <w:rPr>
          <w:rFonts w:asciiTheme="majorHAnsi" w:hAnsiTheme="majorHAnsi" w:cstheme="majorHAnsi"/>
          <w:sz w:val="24"/>
          <w:szCs w:val="20"/>
        </w:rPr>
        <w:t>.</w:t>
      </w:r>
    </w:p>
    <w:p w14:paraId="3810EEF5" w14:textId="77777777" w:rsidR="003157CE" w:rsidRPr="003157CE" w:rsidRDefault="003157CE" w:rsidP="003157CE">
      <w:pPr>
        <w:spacing w:after="240"/>
        <w:ind w:right="877"/>
        <w:rPr>
          <w:rFonts w:asciiTheme="majorHAnsi" w:hAnsiTheme="majorHAnsi" w:cstheme="majorHAnsi"/>
          <w:sz w:val="24"/>
          <w:szCs w:val="20"/>
        </w:rPr>
      </w:pPr>
      <w:r w:rsidRPr="003157CE">
        <w:rPr>
          <w:rFonts w:asciiTheme="majorHAnsi" w:hAnsiTheme="majorHAnsi" w:cstheme="majorHAnsi"/>
          <w:sz w:val="24"/>
          <w:szCs w:val="20"/>
        </w:rPr>
        <w:t xml:space="preserve">Industrial applications are now requiring efficient power supplies that are able to work in various environments with a high level of safety. The AEA1000F is certified to the EN62477-1 Over Voltage Category Three (OVC III), meaning that a final equipment powered by the products can be directly connected to the main distribution panel without adding an extra level of isolation. This </w:t>
      </w:r>
      <w:r w:rsidRPr="003157CE">
        <w:rPr>
          <w:rFonts w:asciiTheme="majorHAnsi" w:hAnsiTheme="majorHAnsi" w:cstheme="majorHAnsi"/>
          <w:sz w:val="24"/>
          <w:szCs w:val="20"/>
        </w:rPr>
        <w:lastRenderedPageBreak/>
        <w:t>simplifies the systems designer’s task, reduces costs and guarantees the highest level of efficiency.</w:t>
      </w:r>
    </w:p>
    <w:p w14:paraId="7CAC0A70" w14:textId="77777777" w:rsidR="003157CE" w:rsidRPr="003157CE" w:rsidRDefault="003157CE" w:rsidP="003157CE">
      <w:pPr>
        <w:spacing w:after="240"/>
        <w:ind w:right="877"/>
        <w:rPr>
          <w:rFonts w:asciiTheme="majorHAnsi" w:hAnsiTheme="majorHAnsi" w:cstheme="majorHAnsi"/>
          <w:sz w:val="24"/>
          <w:szCs w:val="20"/>
        </w:rPr>
      </w:pPr>
      <w:r w:rsidRPr="003157CE">
        <w:rPr>
          <w:rFonts w:asciiTheme="majorHAnsi" w:hAnsiTheme="majorHAnsi" w:cstheme="majorHAnsi"/>
          <w:sz w:val="24"/>
          <w:szCs w:val="20"/>
        </w:rPr>
        <w:t>For medical applications, the AEA1000F input to output isolation complies with 2MOPP, its input to ground with 1MOPP, and output to ground with 1MOPP making the product suitable for Body Floating (BF) applications. The units are approved in accordance with ANSI/AAMI ES60601-1 and EN60601-1 3rd Edition.</w:t>
      </w:r>
    </w:p>
    <w:p w14:paraId="6F1957EE" w14:textId="77777777" w:rsidR="003157CE" w:rsidRPr="003157CE" w:rsidRDefault="003157CE" w:rsidP="003157CE">
      <w:pPr>
        <w:spacing w:after="240"/>
        <w:ind w:right="877"/>
        <w:rPr>
          <w:rFonts w:asciiTheme="majorHAnsi" w:hAnsiTheme="majorHAnsi" w:cstheme="majorHAnsi"/>
          <w:sz w:val="24"/>
          <w:szCs w:val="20"/>
        </w:rPr>
      </w:pPr>
      <w:r w:rsidRPr="003157CE">
        <w:rPr>
          <w:rFonts w:asciiTheme="majorHAnsi" w:hAnsiTheme="majorHAnsi" w:cstheme="majorHAnsi"/>
          <w:sz w:val="24"/>
          <w:szCs w:val="20"/>
        </w:rPr>
        <w:t>The AEA1000F has an input to output isolation of 4,000VAC, input to ground (FG) of 2,000VAC and output to ground (FG) of 1,500VAC.</w:t>
      </w:r>
    </w:p>
    <w:p w14:paraId="3A4F3F5F" w14:textId="77777777" w:rsidR="003157CE" w:rsidRPr="003157CE" w:rsidRDefault="003157CE" w:rsidP="003157CE">
      <w:pPr>
        <w:spacing w:after="240"/>
        <w:ind w:right="877"/>
        <w:rPr>
          <w:rFonts w:asciiTheme="majorHAnsi" w:hAnsiTheme="majorHAnsi" w:cstheme="majorHAnsi"/>
          <w:sz w:val="24"/>
          <w:szCs w:val="20"/>
        </w:rPr>
      </w:pPr>
      <w:r w:rsidRPr="003157CE">
        <w:rPr>
          <w:rFonts w:asciiTheme="majorHAnsi" w:hAnsiTheme="majorHAnsi" w:cstheme="majorHAnsi"/>
          <w:sz w:val="24"/>
          <w:szCs w:val="20"/>
        </w:rPr>
        <w:t>Designed for international applications, the versatile AEA1000F has an input voltage of 85 to 264VAC. Three output voltages are available: 24V, 36V and 48V with respective current ratings of 42A, 28A and 21A. Output voltage can be adjusted using a built-in potentiometer.</w:t>
      </w:r>
    </w:p>
    <w:p w14:paraId="0D3EE75F" w14:textId="77777777" w:rsidR="003157CE" w:rsidRPr="003157CE" w:rsidRDefault="003157CE" w:rsidP="003157CE">
      <w:pPr>
        <w:spacing w:after="240"/>
        <w:ind w:right="877"/>
        <w:rPr>
          <w:rFonts w:asciiTheme="majorHAnsi" w:hAnsiTheme="majorHAnsi" w:cstheme="majorHAnsi"/>
          <w:sz w:val="24"/>
          <w:szCs w:val="20"/>
        </w:rPr>
      </w:pPr>
      <w:r w:rsidRPr="003157CE">
        <w:rPr>
          <w:rFonts w:asciiTheme="majorHAnsi" w:hAnsiTheme="majorHAnsi" w:cstheme="majorHAnsi"/>
          <w:sz w:val="24"/>
          <w:szCs w:val="20"/>
        </w:rPr>
        <w:t>For low harmonic current distortion, the AEA1000F uses active Power Factor Corrector (PFC), and the switching stage uses an LLC resonant topology deploying the latest generation of power semiconductors, conferring to a typical efficiency of up to 95%.</w:t>
      </w:r>
    </w:p>
    <w:p w14:paraId="413EE268" w14:textId="77777777" w:rsidR="003157CE" w:rsidRPr="003157CE" w:rsidRDefault="003157CE" w:rsidP="003157CE">
      <w:pPr>
        <w:spacing w:after="240"/>
        <w:ind w:right="877"/>
        <w:rPr>
          <w:rFonts w:asciiTheme="majorHAnsi" w:hAnsiTheme="majorHAnsi" w:cstheme="majorHAnsi"/>
          <w:sz w:val="24"/>
          <w:szCs w:val="20"/>
        </w:rPr>
      </w:pPr>
      <w:r w:rsidRPr="003157CE">
        <w:rPr>
          <w:rFonts w:asciiTheme="majorHAnsi" w:hAnsiTheme="majorHAnsi" w:cstheme="majorHAnsi"/>
          <w:sz w:val="24"/>
          <w:szCs w:val="20"/>
        </w:rPr>
        <w:t>For additional power the AEA1000F can be connected in parallel, up to six units. When in parallel, by adjusting the output voltage on the ‘Master’ unit, ‘Slaves’ neatly automatically adjust their output voltage to be of equal value.</w:t>
      </w:r>
    </w:p>
    <w:p w14:paraId="248080C8" w14:textId="77777777" w:rsidR="003157CE" w:rsidRPr="003157CE" w:rsidRDefault="003157CE" w:rsidP="003157CE">
      <w:pPr>
        <w:spacing w:after="240"/>
        <w:ind w:right="877"/>
        <w:rPr>
          <w:rFonts w:asciiTheme="majorHAnsi" w:hAnsiTheme="majorHAnsi" w:cstheme="majorHAnsi"/>
          <w:sz w:val="24"/>
          <w:szCs w:val="20"/>
        </w:rPr>
      </w:pPr>
      <w:r w:rsidRPr="003157CE">
        <w:rPr>
          <w:rFonts w:asciiTheme="majorHAnsi" w:hAnsiTheme="majorHAnsi" w:cstheme="majorHAnsi"/>
          <w:sz w:val="24"/>
          <w:szCs w:val="20"/>
        </w:rPr>
        <w:t>Optimized for convection cooling, the AEA1000F can be operated within an ambient temperature range of -20 to +70 degree centigrade. Depending on the assembly method and ventilation used in the final equipment, a derating may apply as specified in the technical documentation.</w:t>
      </w:r>
    </w:p>
    <w:p w14:paraId="70D939B1" w14:textId="77777777" w:rsidR="003157CE" w:rsidRPr="003157CE" w:rsidRDefault="003157CE" w:rsidP="003157CE">
      <w:pPr>
        <w:spacing w:after="240"/>
        <w:ind w:right="877"/>
        <w:rPr>
          <w:rFonts w:asciiTheme="majorHAnsi" w:hAnsiTheme="majorHAnsi" w:cstheme="majorHAnsi"/>
          <w:sz w:val="24"/>
          <w:szCs w:val="20"/>
        </w:rPr>
      </w:pPr>
      <w:r w:rsidRPr="003157CE">
        <w:rPr>
          <w:rFonts w:asciiTheme="majorHAnsi" w:hAnsiTheme="majorHAnsi" w:cstheme="majorHAnsi"/>
          <w:sz w:val="24"/>
          <w:szCs w:val="20"/>
        </w:rPr>
        <w:t>The AEA1000F includes built-in inrush current, overcurrent, overvoltage protection circuits, and thermal protection.</w:t>
      </w:r>
    </w:p>
    <w:p w14:paraId="58872E9D" w14:textId="77777777" w:rsidR="003157CE" w:rsidRPr="003157CE" w:rsidRDefault="003157CE" w:rsidP="003157CE">
      <w:pPr>
        <w:spacing w:after="240"/>
        <w:ind w:right="877"/>
        <w:rPr>
          <w:rFonts w:asciiTheme="majorHAnsi" w:hAnsiTheme="majorHAnsi" w:cstheme="majorHAnsi"/>
          <w:sz w:val="24"/>
          <w:szCs w:val="20"/>
        </w:rPr>
      </w:pPr>
      <w:r w:rsidRPr="003157CE">
        <w:rPr>
          <w:rFonts w:asciiTheme="majorHAnsi" w:hAnsiTheme="majorHAnsi" w:cstheme="majorHAnsi"/>
          <w:sz w:val="24"/>
          <w:szCs w:val="20"/>
        </w:rPr>
        <w:t xml:space="preserve">In its open frame format, the AEA1000F measures 50 x 127 x 228.6mm (1.97 x 5 x 9 inches) and weighs 1.5kg max. </w:t>
      </w:r>
    </w:p>
    <w:p w14:paraId="55142BDA" w14:textId="77777777" w:rsidR="003157CE" w:rsidRPr="003157CE" w:rsidRDefault="003157CE" w:rsidP="003157CE">
      <w:pPr>
        <w:spacing w:after="240"/>
        <w:ind w:right="877"/>
        <w:rPr>
          <w:rFonts w:asciiTheme="majorHAnsi" w:hAnsiTheme="majorHAnsi" w:cstheme="majorHAnsi"/>
          <w:sz w:val="24"/>
          <w:szCs w:val="20"/>
        </w:rPr>
      </w:pPr>
      <w:r w:rsidRPr="003157CE">
        <w:rPr>
          <w:rFonts w:asciiTheme="majorHAnsi" w:hAnsiTheme="majorHAnsi" w:cstheme="majorHAnsi"/>
          <w:sz w:val="24"/>
          <w:szCs w:val="20"/>
        </w:rPr>
        <w:t>The AEA1000F complies with safety requirements: UL (USA), C-UL (Canada), DEMKO (Denmark), and TUV (Germany). The product is UL62368-1, EN62368-1, EN62477-1 (OVC III) certified.</w:t>
      </w:r>
    </w:p>
    <w:p w14:paraId="01E33CD7" w14:textId="77777777" w:rsidR="003157CE" w:rsidRPr="003157CE" w:rsidRDefault="003157CE" w:rsidP="003157CE">
      <w:pPr>
        <w:spacing w:after="240"/>
        <w:ind w:right="877"/>
        <w:rPr>
          <w:rFonts w:asciiTheme="majorHAnsi" w:hAnsiTheme="majorHAnsi" w:cstheme="majorHAnsi"/>
          <w:sz w:val="24"/>
          <w:szCs w:val="20"/>
        </w:rPr>
      </w:pPr>
      <w:r w:rsidRPr="003157CE">
        <w:rPr>
          <w:rFonts w:asciiTheme="majorHAnsi" w:hAnsiTheme="majorHAnsi" w:cstheme="majorHAnsi"/>
          <w:sz w:val="24"/>
          <w:szCs w:val="20"/>
        </w:rPr>
        <w:t xml:space="preserve">To accommodate application specific requirements, a number of options are available including: Coating (C), Additional cover (N), Vertical positioned screw on a terminal block (T), Terminal block changed to a connector (J), Extended </w:t>
      </w:r>
      <w:r w:rsidRPr="003157CE">
        <w:rPr>
          <w:rFonts w:asciiTheme="majorHAnsi" w:hAnsiTheme="majorHAnsi" w:cstheme="majorHAnsi"/>
          <w:sz w:val="24"/>
          <w:szCs w:val="20"/>
        </w:rPr>
        <w:lastRenderedPageBreak/>
        <w:t>features: Auxiliary outputs (AUX1 12V1A), (AUX2 5V1A), Remote ON/OFF and Alarm (R3), UL508 certification (T5), Over current protection mode changed from hiccup mode to shutdown (P5).</w:t>
      </w:r>
    </w:p>
    <w:p w14:paraId="05A1B423" w14:textId="77777777" w:rsidR="003157CE" w:rsidRPr="003157CE" w:rsidRDefault="003157CE" w:rsidP="003157CE">
      <w:pPr>
        <w:spacing w:after="240"/>
        <w:ind w:right="877"/>
        <w:rPr>
          <w:rFonts w:asciiTheme="majorHAnsi" w:hAnsiTheme="majorHAnsi" w:cstheme="majorHAnsi"/>
          <w:sz w:val="24"/>
          <w:szCs w:val="20"/>
        </w:rPr>
      </w:pPr>
      <w:r w:rsidRPr="003157CE">
        <w:rPr>
          <w:rFonts w:asciiTheme="majorHAnsi" w:hAnsiTheme="majorHAnsi" w:cstheme="majorHAnsi"/>
          <w:sz w:val="24"/>
          <w:szCs w:val="20"/>
        </w:rPr>
        <w:t>The AEA series is suitable for a large range of applications such as: robots and robotics, infusion-pumps, ventilators, actuators, process control, radio and transmission equipment, and emergency signaling.</w:t>
      </w:r>
    </w:p>
    <w:p w14:paraId="6FD87FBA" w14:textId="278866C1" w:rsidR="00F30AFF" w:rsidRDefault="003157CE" w:rsidP="003157CE">
      <w:pPr>
        <w:spacing w:after="240"/>
        <w:ind w:right="877"/>
        <w:rPr>
          <w:rFonts w:asciiTheme="majorHAnsi" w:hAnsiTheme="majorHAnsi" w:cstheme="majorHAnsi"/>
          <w:sz w:val="24"/>
          <w:szCs w:val="20"/>
        </w:rPr>
      </w:pPr>
      <w:r w:rsidRPr="003157CE">
        <w:rPr>
          <w:rFonts w:asciiTheme="majorHAnsi" w:hAnsiTheme="majorHAnsi" w:cstheme="majorHAnsi"/>
          <w:sz w:val="24"/>
          <w:szCs w:val="20"/>
        </w:rPr>
        <w:t>The AEA1000F series has a full five-year warranty and conforms to the European RoHS, REACH and Low Voltage Directives.</w:t>
      </w:r>
    </w:p>
    <w:p w14:paraId="1DC07816" w14:textId="4B841FFF" w:rsidR="00793E39" w:rsidRPr="00F32452" w:rsidRDefault="003157CE" w:rsidP="00901436">
      <w:pPr>
        <w:spacing w:after="240"/>
        <w:ind w:right="877"/>
        <w:rPr>
          <w:rFonts w:asciiTheme="majorHAnsi" w:hAnsiTheme="majorHAnsi" w:cstheme="majorHAnsi"/>
          <w:sz w:val="20"/>
          <w:szCs w:val="20"/>
        </w:rPr>
      </w:pPr>
      <w:r>
        <w:rPr>
          <w:rFonts w:asciiTheme="majorHAnsi" w:hAnsiTheme="majorHAnsi" w:cstheme="majorHAnsi"/>
          <w:noProof/>
          <w:sz w:val="20"/>
          <w:szCs w:val="20"/>
        </w:rPr>
        <w:drawing>
          <wp:inline distT="0" distB="0" distL="0" distR="0" wp14:anchorId="26CC4564" wp14:editId="6A85A2FA">
            <wp:extent cx="4599709" cy="3066473"/>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a:stretch>
                      <a:fillRect/>
                    </a:stretch>
                  </pic:blipFill>
                  <pic:spPr>
                    <a:xfrm>
                      <a:off x="0" y="0"/>
                      <a:ext cx="4606780" cy="3071187"/>
                    </a:xfrm>
                    <a:prstGeom prst="rect">
                      <a:avLst/>
                    </a:prstGeom>
                  </pic:spPr>
                </pic:pic>
              </a:graphicData>
            </a:graphic>
          </wp:inline>
        </w:drawing>
      </w:r>
    </w:p>
    <w:p w14:paraId="3A17DEDB" w14:textId="77777777" w:rsidR="003157CE" w:rsidRPr="00F93FF4" w:rsidRDefault="003157CE" w:rsidP="003157CE">
      <w:pPr>
        <w:ind w:right="877"/>
        <w:rPr>
          <w:rFonts w:asciiTheme="majorHAnsi" w:hAnsiTheme="majorHAnsi" w:cstheme="majorHAnsi"/>
          <w:b/>
          <w:sz w:val="24"/>
          <w:szCs w:val="20"/>
        </w:rPr>
      </w:pPr>
      <w:r w:rsidRPr="00F93FF4">
        <w:rPr>
          <w:rFonts w:asciiTheme="majorHAnsi" w:hAnsiTheme="majorHAnsi" w:cstheme="majorHAnsi"/>
          <w:b/>
          <w:sz w:val="24"/>
          <w:szCs w:val="20"/>
        </w:rPr>
        <w:t>Designed for industrial and medical applications, COSEL’s AEA1000F delivers 3</w:t>
      </w:r>
      <w:r>
        <w:rPr>
          <w:rFonts w:asciiTheme="majorHAnsi" w:hAnsiTheme="majorHAnsi" w:cstheme="majorHAnsi"/>
          <w:b/>
          <w:sz w:val="24"/>
          <w:szCs w:val="20"/>
        </w:rPr>
        <w:t>3</w:t>
      </w:r>
      <w:r w:rsidRPr="00F93FF4">
        <w:rPr>
          <w:rFonts w:asciiTheme="majorHAnsi" w:hAnsiTheme="majorHAnsi" w:cstheme="majorHAnsi"/>
          <w:b/>
          <w:sz w:val="24"/>
          <w:szCs w:val="20"/>
        </w:rPr>
        <w:t xml:space="preserve">0% peak power up to </w:t>
      </w:r>
      <w:r w:rsidRPr="00F93FF4">
        <w:rPr>
          <w:rFonts w:asciiTheme="majorHAnsi" w:hAnsiTheme="majorHAnsi" w:cstheme="majorHAnsi" w:hint="eastAsia"/>
          <w:b/>
          <w:sz w:val="24"/>
          <w:szCs w:val="20"/>
          <w:lang w:eastAsia="ja-JP"/>
        </w:rPr>
        <w:t>3</w:t>
      </w:r>
      <w:r w:rsidRPr="00F93FF4">
        <w:rPr>
          <w:rFonts w:asciiTheme="majorHAnsi" w:hAnsiTheme="majorHAnsi" w:cstheme="majorHAnsi"/>
          <w:b/>
          <w:sz w:val="24"/>
          <w:szCs w:val="20"/>
        </w:rPr>
        <w:t>,000 milliseconds</w:t>
      </w:r>
    </w:p>
    <w:p w14:paraId="40CD53B8" w14:textId="77777777" w:rsidR="003157CE" w:rsidRPr="00F93FF4" w:rsidRDefault="003157CE" w:rsidP="003157CE">
      <w:pPr>
        <w:ind w:right="877"/>
        <w:rPr>
          <w:rFonts w:asciiTheme="majorHAnsi" w:hAnsiTheme="majorHAnsi" w:cstheme="majorHAnsi"/>
          <w:sz w:val="24"/>
          <w:szCs w:val="20"/>
        </w:rPr>
      </w:pPr>
    </w:p>
    <w:p w14:paraId="2011A3B8" w14:textId="77777777" w:rsidR="003157CE" w:rsidRPr="00F93FF4" w:rsidRDefault="003157CE" w:rsidP="003157CE">
      <w:pPr>
        <w:spacing w:after="0"/>
        <w:ind w:right="879"/>
        <w:rPr>
          <w:rFonts w:ascii="Arial" w:hAnsi="Arial" w:cs="Arial"/>
          <w:b/>
          <w:sz w:val="20"/>
          <w:szCs w:val="20"/>
        </w:rPr>
      </w:pPr>
      <w:r w:rsidRPr="00F93FF4">
        <w:rPr>
          <w:rFonts w:ascii="Arial" w:hAnsi="Arial" w:cs="Arial"/>
          <w:b/>
          <w:sz w:val="20"/>
          <w:szCs w:val="20"/>
        </w:rPr>
        <w:t>Related links:</w:t>
      </w:r>
    </w:p>
    <w:p w14:paraId="5FC29692" w14:textId="77777777" w:rsidR="003157CE" w:rsidRPr="00F93FF4" w:rsidRDefault="003157CE" w:rsidP="003157CE">
      <w:pPr>
        <w:spacing w:after="0"/>
        <w:ind w:right="879"/>
        <w:rPr>
          <w:rFonts w:ascii="Arial" w:hAnsi="Arial" w:cs="Arial"/>
          <w:bCs/>
          <w:sz w:val="20"/>
          <w:szCs w:val="20"/>
        </w:rPr>
      </w:pPr>
      <w:hyperlink r:id="rId8" w:history="1">
        <w:r w:rsidRPr="00F93FF4">
          <w:rPr>
            <w:rStyle w:val="Hyperlink"/>
            <w:rFonts w:ascii="Arial" w:hAnsi="Arial" w:cs="Arial"/>
            <w:bCs/>
            <w:sz w:val="20"/>
            <w:szCs w:val="20"/>
          </w:rPr>
          <w:t>https://en.cosel.co.jp/product/powersupply/AEA/</w:t>
        </w:r>
      </w:hyperlink>
    </w:p>
    <w:p w14:paraId="371ED235" w14:textId="77777777" w:rsidR="003069B5" w:rsidRDefault="003069B5" w:rsidP="00911B16">
      <w:pPr>
        <w:ind w:right="877"/>
      </w:pPr>
    </w:p>
    <w:p w14:paraId="3DF2E419" w14:textId="3151152D" w:rsidR="00901436" w:rsidRDefault="00901436" w:rsidP="00911B16">
      <w:pPr>
        <w:spacing w:after="0"/>
        <w:ind w:right="879"/>
        <w:rPr>
          <w:rFonts w:asciiTheme="majorHAnsi" w:hAnsiTheme="majorHAnsi" w:cstheme="majorHAnsi"/>
          <w:b/>
          <w:sz w:val="24"/>
          <w:szCs w:val="20"/>
        </w:rPr>
      </w:pPr>
      <w:r>
        <w:br w:type="column"/>
      </w:r>
      <w:r>
        <w:rPr>
          <w:rFonts w:asciiTheme="majorHAnsi" w:hAnsiTheme="majorHAnsi" w:cstheme="majorHAnsi"/>
          <w:b/>
          <w:sz w:val="24"/>
          <w:szCs w:val="20"/>
        </w:rPr>
        <w:lastRenderedPageBreak/>
        <w:t>About Cosel:</w:t>
      </w:r>
    </w:p>
    <w:p w14:paraId="2A256F05" w14:textId="01545F5D" w:rsidR="00901436" w:rsidRDefault="00901436" w:rsidP="00901436">
      <w:pPr>
        <w:spacing w:after="240"/>
        <w:ind w:right="879"/>
        <w:rPr>
          <w:rFonts w:asciiTheme="majorHAnsi" w:hAnsiTheme="majorHAnsi" w:cstheme="majorHAnsi"/>
          <w:sz w:val="24"/>
          <w:szCs w:val="20"/>
        </w:rPr>
      </w:pPr>
      <w:r>
        <w:rPr>
          <w:rFonts w:asciiTheme="majorHAnsi" w:hAnsiTheme="majorHAnsi" w:cstheme="majorHAnsi"/>
          <w:sz w:val="24"/>
          <w:szCs w:val="20"/>
        </w:rPr>
        <w:t>Established in Japan 1969, COSEL is one of the world’s leading designers and manufacturers of high performance AC-DC Power Supplies, DC-DC Converters and EMI Filters. With quality, reliability &amp; flexibility as our main focus, we pride ourselves on developing some of the highest quality and most reliable products seen anywhere in the world today. The Cosel Group is a $2</w:t>
      </w:r>
      <w:r w:rsidR="00FC3FD5">
        <w:rPr>
          <w:rFonts w:asciiTheme="majorHAnsi" w:hAnsiTheme="majorHAnsi" w:cstheme="majorHAnsi"/>
          <w:sz w:val="24"/>
          <w:szCs w:val="20"/>
        </w:rPr>
        <w:t>50</w:t>
      </w:r>
      <w:r>
        <w:rPr>
          <w:rFonts w:asciiTheme="majorHAnsi" w:hAnsiTheme="majorHAnsi" w:cstheme="majorHAnsi"/>
          <w:sz w:val="24"/>
          <w:szCs w:val="20"/>
        </w:rPr>
        <w:t>m global company employing some 7</w:t>
      </w:r>
      <w:r w:rsidR="00FC3FD5">
        <w:rPr>
          <w:rFonts w:asciiTheme="majorHAnsi" w:hAnsiTheme="majorHAnsi" w:cstheme="majorHAnsi"/>
          <w:sz w:val="24"/>
          <w:szCs w:val="20"/>
        </w:rPr>
        <w:t>0</w:t>
      </w:r>
      <w:r>
        <w:rPr>
          <w:rFonts w:asciiTheme="majorHAnsi" w:hAnsiTheme="majorHAnsi" w:cstheme="majorHAnsi"/>
          <w:sz w:val="24"/>
          <w:szCs w:val="20"/>
        </w:rPr>
        <w:t>0 staff with sales offices throughout Japan, Asia, Europe and North America. Our product range is aimed mostly at demanding applications within the Industrial, Factory Automation, Medical, Telecoms, Lighting, Audio/Broadcast &amp; Renewable Energy sectors. A flexible approach with full in-house design means we deliver products using the very latest technology meeting the growing demands of our customers.</w:t>
      </w:r>
    </w:p>
    <w:p w14:paraId="7920E7C8" w14:textId="77777777" w:rsidR="00901436" w:rsidRDefault="00901436" w:rsidP="00901436">
      <w:pPr>
        <w:spacing w:after="0"/>
        <w:ind w:right="879"/>
        <w:rPr>
          <w:rFonts w:asciiTheme="majorHAnsi" w:hAnsiTheme="majorHAnsi" w:cstheme="majorHAnsi"/>
          <w:b/>
          <w:sz w:val="24"/>
          <w:szCs w:val="20"/>
        </w:rPr>
      </w:pPr>
      <w:r>
        <w:rPr>
          <w:rFonts w:asciiTheme="majorHAnsi" w:hAnsiTheme="majorHAnsi" w:cstheme="majorHAnsi"/>
          <w:b/>
          <w:sz w:val="24"/>
          <w:szCs w:val="20"/>
        </w:rPr>
        <w:t>Note to the Editors:</w:t>
      </w:r>
    </w:p>
    <w:p w14:paraId="7E68E31B" w14:textId="77777777" w:rsidR="00901436" w:rsidRDefault="00901436" w:rsidP="00901436">
      <w:pPr>
        <w:spacing w:after="240"/>
        <w:ind w:right="879"/>
        <w:rPr>
          <w:rFonts w:asciiTheme="majorHAnsi" w:hAnsiTheme="majorHAnsi" w:cstheme="majorHAnsi"/>
          <w:sz w:val="24"/>
          <w:szCs w:val="20"/>
        </w:rPr>
      </w:pPr>
      <w:r>
        <w:rPr>
          <w:rFonts w:asciiTheme="majorHAnsi" w:hAnsiTheme="majorHAnsi" w:cstheme="majorHAnsi"/>
          <w:sz w:val="24"/>
          <w:szCs w:val="20"/>
        </w:rPr>
        <w:t>The Cosel Group includes the European power specialist Powerbox International AB, which has been acquired June 25, 2018 by COSEL.</w:t>
      </w:r>
    </w:p>
    <w:p w14:paraId="18DD81F7" w14:textId="77777777" w:rsidR="00901436" w:rsidRDefault="00901436" w:rsidP="00901436">
      <w:pPr>
        <w:spacing w:after="0"/>
        <w:ind w:right="1729"/>
        <w:rPr>
          <w:rFonts w:asciiTheme="majorHAnsi" w:hAnsiTheme="majorHAnsi" w:cstheme="majorHAnsi"/>
          <w:b/>
          <w:sz w:val="28"/>
          <w:szCs w:val="20"/>
        </w:rPr>
      </w:pPr>
      <w:r>
        <w:rPr>
          <w:rFonts w:asciiTheme="majorHAnsi" w:hAnsiTheme="majorHAnsi" w:cstheme="majorHAnsi"/>
          <w:b/>
          <w:sz w:val="28"/>
          <w:szCs w:val="20"/>
        </w:rPr>
        <w:t>For more information contact:</w:t>
      </w:r>
    </w:p>
    <w:p w14:paraId="04CF9DA7" w14:textId="77777777" w:rsidR="00901436" w:rsidRDefault="00901436" w:rsidP="00901436">
      <w:pPr>
        <w:spacing w:after="0"/>
        <w:ind w:right="1729"/>
        <w:rPr>
          <w:rFonts w:asciiTheme="majorHAnsi" w:hAnsiTheme="majorHAnsi" w:cstheme="majorHAnsi"/>
          <w:b/>
          <w:sz w:val="24"/>
          <w:szCs w:val="20"/>
        </w:rPr>
      </w:pPr>
      <w:r>
        <w:rPr>
          <w:rFonts w:asciiTheme="majorHAnsi" w:hAnsiTheme="majorHAnsi" w:cstheme="majorHAnsi"/>
          <w:b/>
          <w:sz w:val="24"/>
          <w:szCs w:val="20"/>
        </w:rPr>
        <w:t>Press and media relations</w:t>
      </w:r>
    </w:p>
    <w:p w14:paraId="2BDFB6A2" w14:textId="77777777" w:rsidR="00901436" w:rsidRDefault="00901436" w:rsidP="00901436">
      <w:pPr>
        <w:spacing w:after="0"/>
        <w:ind w:right="1729"/>
        <w:rPr>
          <w:rFonts w:asciiTheme="majorHAnsi" w:hAnsiTheme="majorHAnsi" w:cstheme="majorHAnsi"/>
          <w:sz w:val="24"/>
          <w:szCs w:val="20"/>
        </w:rPr>
      </w:pPr>
      <w:r>
        <w:rPr>
          <w:rFonts w:asciiTheme="majorHAnsi" w:hAnsiTheme="majorHAnsi" w:cstheme="majorHAnsi"/>
          <w:sz w:val="24"/>
          <w:szCs w:val="20"/>
        </w:rPr>
        <w:t>Patrick Le Fèvre</w:t>
      </w:r>
    </w:p>
    <w:p w14:paraId="406E29B6" w14:textId="77777777" w:rsidR="00901436" w:rsidRDefault="00901436" w:rsidP="00901436">
      <w:pPr>
        <w:spacing w:after="0"/>
        <w:ind w:right="1729"/>
        <w:rPr>
          <w:rFonts w:asciiTheme="majorHAnsi" w:hAnsiTheme="majorHAnsi" w:cstheme="majorHAnsi"/>
          <w:sz w:val="24"/>
          <w:szCs w:val="20"/>
        </w:rPr>
      </w:pPr>
      <w:r>
        <w:rPr>
          <w:rFonts w:asciiTheme="majorHAnsi" w:hAnsiTheme="majorHAnsi" w:cstheme="majorHAnsi"/>
          <w:sz w:val="24"/>
          <w:szCs w:val="20"/>
        </w:rPr>
        <w:t>Phone: +46 (0) 158 703 00</w:t>
      </w:r>
    </w:p>
    <w:p w14:paraId="5D43022F" w14:textId="77777777" w:rsidR="00901436" w:rsidRDefault="00901436" w:rsidP="00901436">
      <w:pPr>
        <w:spacing w:after="0"/>
        <w:ind w:right="1729"/>
        <w:rPr>
          <w:rFonts w:asciiTheme="majorHAnsi" w:hAnsiTheme="majorHAnsi" w:cstheme="majorHAnsi"/>
          <w:sz w:val="24"/>
          <w:szCs w:val="20"/>
        </w:rPr>
      </w:pPr>
    </w:p>
    <w:p w14:paraId="77772F44" w14:textId="77777777" w:rsidR="001B3808" w:rsidRPr="009C7883" w:rsidRDefault="001B3808" w:rsidP="001B3808">
      <w:pPr>
        <w:spacing w:after="0"/>
        <w:ind w:right="879"/>
        <w:rPr>
          <w:rFonts w:asciiTheme="majorHAnsi" w:hAnsiTheme="majorHAnsi" w:cstheme="majorHAnsi"/>
          <w:b/>
          <w:sz w:val="24"/>
          <w:szCs w:val="24"/>
        </w:rPr>
      </w:pPr>
      <w:r w:rsidRPr="009C7883">
        <w:rPr>
          <w:rFonts w:asciiTheme="majorHAnsi" w:hAnsiTheme="majorHAnsi" w:cstheme="majorHAnsi"/>
          <w:b/>
          <w:sz w:val="24"/>
          <w:szCs w:val="24"/>
        </w:rPr>
        <w:t>Sales and technical requests</w:t>
      </w:r>
    </w:p>
    <w:p w14:paraId="325D3F69" w14:textId="77777777" w:rsidR="001B3808" w:rsidRPr="00B44C84" w:rsidRDefault="001B3808" w:rsidP="001B3808">
      <w:pPr>
        <w:spacing w:after="0"/>
        <w:ind w:right="1729"/>
        <w:rPr>
          <w:rFonts w:asciiTheme="majorHAnsi" w:hAnsiTheme="majorHAnsi" w:cstheme="majorHAnsi"/>
          <w:b/>
          <w:sz w:val="24"/>
          <w:szCs w:val="20"/>
        </w:rPr>
      </w:pPr>
      <w:r w:rsidRPr="00B44C84">
        <w:rPr>
          <w:rFonts w:asciiTheme="majorHAnsi" w:hAnsiTheme="majorHAnsi" w:cstheme="majorHAnsi"/>
          <w:b/>
          <w:sz w:val="24"/>
          <w:szCs w:val="20"/>
        </w:rPr>
        <w:t>COSEL ASIA LTD.</w:t>
      </w:r>
    </w:p>
    <w:p w14:paraId="3E5674CA" w14:textId="77777777" w:rsidR="001B3808" w:rsidRPr="00BD4026" w:rsidRDefault="001B3808" w:rsidP="001B3808">
      <w:pPr>
        <w:spacing w:after="0"/>
        <w:ind w:right="1729"/>
        <w:rPr>
          <w:rFonts w:asciiTheme="majorHAnsi" w:hAnsiTheme="majorHAnsi" w:cstheme="majorHAnsi"/>
          <w:sz w:val="24"/>
          <w:szCs w:val="20"/>
        </w:rPr>
      </w:pPr>
      <w:r w:rsidRPr="00BD4026">
        <w:rPr>
          <w:rFonts w:asciiTheme="majorHAnsi" w:hAnsiTheme="majorHAnsi" w:cstheme="majorHAnsi"/>
          <w:sz w:val="24"/>
          <w:szCs w:val="20"/>
        </w:rPr>
        <w:t>Rm. 601, 9 Chong Yip Street, Kwun Tong, Kowloon, Hong Kong</w:t>
      </w:r>
    </w:p>
    <w:p w14:paraId="15CB3477" w14:textId="77777777" w:rsidR="001B3808" w:rsidRPr="00BD4026" w:rsidRDefault="001B3808" w:rsidP="001B3808">
      <w:pPr>
        <w:spacing w:after="0"/>
        <w:ind w:right="1729"/>
        <w:rPr>
          <w:rFonts w:asciiTheme="majorHAnsi" w:hAnsiTheme="majorHAnsi" w:cstheme="majorHAnsi"/>
          <w:sz w:val="24"/>
          <w:szCs w:val="20"/>
        </w:rPr>
      </w:pPr>
      <w:r w:rsidRPr="00BD4026">
        <w:rPr>
          <w:rFonts w:asciiTheme="majorHAnsi" w:hAnsiTheme="majorHAnsi" w:cstheme="majorHAnsi"/>
          <w:sz w:val="24"/>
          <w:szCs w:val="20"/>
        </w:rPr>
        <w:t>http://www.coselasia.com/</w:t>
      </w:r>
    </w:p>
    <w:p w14:paraId="2FA86CDB" w14:textId="77777777" w:rsidR="001B3808" w:rsidRPr="00BD4026" w:rsidRDefault="001B3808" w:rsidP="001B3808">
      <w:pPr>
        <w:spacing w:after="0"/>
        <w:ind w:right="1729"/>
        <w:rPr>
          <w:rFonts w:asciiTheme="majorHAnsi" w:hAnsiTheme="majorHAnsi" w:cstheme="majorHAnsi"/>
          <w:sz w:val="24"/>
          <w:szCs w:val="20"/>
        </w:rPr>
      </w:pPr>
      <w:r w:rsidRPr="00BD4026">
        <w:rPr>
          <w:rFonts w:asciiTheme="majorHAnsi" w:hAnsiTheme="majorHAnsi" w:cstheme="majorHAnsi"/>
          <w:sz w:val="24"/>
          <w:szCs w:val="20"/>
        </w:rPr>
        <w:t>Phone: +852-2305-2712</w:t>
      </w:r>
    </w:p>
    <w:p w14:paraId="6B64ED2A" w14:textId="77777777" w:rsidR="001B3808" w:rsidRPr="00893550" w:rsidRDefault="001B3808" w:rsidP="001B3808">
      <w:pPr>
        <w:spacing w:after="0"/>
        <w:ind w:right="1729"/>
        <w:rPr>
          <w:rFonts w:asciiTheme="majorHAnsi" w:hAnsiTheme="majorHAnsi" w:cstheme="majorHAnsi"/>
          <w:sz w:val="24"/>
          <w:szCs w:val="20"/>
          <w:lang w:val="fr-FR"/>
        </w:rPr>
      </w:pPr>
      <w:r w:rsidRPr="00893550">
        <w:rPr>
          <w:rFonts w:asciiTheme="majorHAnsi" w:hAnsiTheme="majorHAnsi" w:cstheme="majorHAnsi"/>
          <w:sz w:val="24"/>
          <w:szCs w:val="20"/>
          <w:lang w:val="fr-FR"/>
        </w:rPr>
        <w:t>Fax: +852-2305-3006</w:t>
      </w:r>
    </w:p>
    <w:p w14:paraId="19EB5BC5" w14:textId="77777777" w:rsidR="001B3808" w:rsidRDefault="001B3808" w:rsidP="001B3808">
      <w:pPr>
        <w:spacing w:after="120"/>
        <w:ind w:right="1729"/>
        <w:rPr>
          <w:rStyle w:val="Hyperlink"/>
          <w:rFonts w:asciiTheme="majorHAnsi" w:hAnsiTheme="majorHAnsi" w:cstheme="majorHAnsi"/>
          <w:sz w:val="24"/>
          <w:szCs w:val="20"/>
          <w:lang w:val="fr-FR"/>
        </w:rPr>
      </w:pPr>
      <w:r w:rsidRPr="00893550">
        <w:rPr>
          <w:rFonts w:asciiTheme="majorHAnsi" w:hAnsiTheme="majorHAnsi" w:cstheme="majorHAnsi"/>
          <w:sz w:val="24"/>
          <w:szCs w:val="20"/>
          <w:lang w:val="fr-FR"/>
        </w:rPr>
        <w:t xml:space="preserve">E-mail: </w:t>
      </w:r>
      <w:hyperlink r:id="rId9" w:history="1">
        <w:r w:rsidRPr="008C10DB">
          <w:rPr>
            <w:rStyle w:val="Hyperlink"/>
            <w:rFonts w:asciiTheme="majorHAnsi" w:hAnsiTheme="majorHAnsi" w:cstheme="majorHAnsi"/>
            <w:sz w:val="24"/>
            <w:szCs w:val="20"/>
            <w:lang w:val="fr-FR"/>
          </w:rPr>
          <w:t>sales@coselasia.com</w:t>
        </w:r>
      </w:hyperlink>
    </w:p>
    <w:p w14:paraId="752C639D" w14:textId="77777777" w:rsidR="001B3808" w:rsidRPr="009B6AA4" w:rsidRDefault="001B3808" w:rsidP="001B3808">
      <w:pPr>
        <w:spacing w:after="240"/>
        <w:ind w:right="879"/>
        <w:rPr>
          <w:rFonts w:asciiTheme="majorHAnsi" w:hAnsiTheme="majorHAnsi" w:cstheme="majorHAnsi"/>
          <w:sz w:val="24"/>
          <w:szCs w:val="24"/>
        </w:rPr>
      </w:pPr>
      <w:r>
        <w:rPr>
          <w:rFonts w:asciiTheme="majorHAnsi" w:hAnsiTheme="majorHAnsi" w:cstheme="majorHAnsi"/>
          <w:noProof/>
          <w:sz w:val="24"/>
          <w:szCs w:val="20"/>
          <w:lang w:eastAsia="zh-CN"/>
        </w:rPr>
        <w:drawing>
          <wp:inline distT="0" distB="0" distL="0" distR="0" wp14:anchorId="42F67014" wp14:editId="0336746E">
            <wp:extent cx="3030070" cy="15706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SEL-ASIA_QR-code_Web-and-WeChat.png"/>
                    <pic:cNvPicPr/>
                  </pic:nvPicPr>
                  <pic:blipFill>
                    <a:blip r:embed="rId10">
                      <a:extLst>
                        <a:ext uri="{28A0092B-C50C-407E-A947-70E740481C1C}">
                          <a14:useLocalDpi xmlns:a14="http://schemas.microsoft.com/office/drawing/2010/main" val="0"/>
                        </a:ext>
                      </a:extLst>
                    </a:blip>
                    <a:stretch>
                      <a:fillRect/>
                    </a:stretch>
                  </pic:blipFill>
                  <pic:spPr>
                    <a:xfrm>
                      <a:off x="0" y="0"/>
                      <a:ext cx="3054666" cy="1583371"/>
                    </a:xfrm>
                    <a:prstGeom prst="rect">
                      <a:avLst/>
                    </a:prstGeom>
                  </pic:spPr>
                </pic:pic>
              </a:graphicData>
            </a:graphic>
          </wp:inline>
        </w:drawing>
      </w:r>
    </w:p>
    <w:p w14:paraId="4F4BAAB7" w14:textId="77777777" w:rsidR="00901436" w:rsidRPr="00F272F8" w:rsidRDefault="00901436" w:rsidP="00901436">
      <w:pPr>
        <w:spacing w:after="0"/>
        <w:ind w:right="1729"/>
        <w:rPr>
          <w:rFonts w:asciiTheme="majorHAnsi" w:hAnsiTheme="majorHAnsi" w:cstheme="majorHAnsi"/>
          <w:sz w:val="24"/>
          <w:szCs w:val="20"/>
          <w:lang w:val="fr-FR"/>
        </w:rPr>
      </w:pPr>
    </w:p>
    <w:p w14:paraId="24E1051A" w14:textId="77777777" w:rsidR="00901436" w:rsidRPr="001B3808" w:rsidRDefault="00901436" w:rsidP="00901436">
      <w:pPr>
        <w:spacing w:after="0"/>
        <w:ind w:right="1729"/>
        <w:rPr>
          <w:rFonts w:asciiTheme="majorHAnsi" w:hAnsiTheme="majorHAnsi" w:cstheme="majorHAnsi"/>
          <w:b/>
          <w:sz w:val="24"/>
          <w:szCs w:val="20"/>
          <w:lang w:val="da-DK"/>
        </w:rPr>
      </w:pPr>
      <w:r w:rsidRPr="001B3808">
        <w:rPr>
          <w:rFonts w:asciiTheme="majorHAnsi" w:hAnsiTheme="majorHAnsi" w:cstheme="majorHAnsi"/>
          <w:b/>
          <w:sz w:val="24"/>
          <w:szCs w:val="20"/>
          <w:lang w:val="da-DK"/>
        </w:rPr>
        <w:t>Reference :</w:t>
      </w:r>
    </w:p>
    <w:p w14:paraId="678D7768" w14:textId="11E7B346" w:rsidR="00901436" w:rsidRPr="001B3808" w:rsidRDefault="00901436" w:rsidP="00901436">
      <w:pPr>
        <w:spacing w:after="0"/>
        <w:ind w:right="879"/>
        <w:rPr>
          <w:rFonts w:ascii="Arial" w:hAnsi="Arial" w:cs="Arial"/>
          <w:bCs/>
          <w:sz w:val="20"/>
          <w:szCs w:val="20"/>
          <w:lang w:val="da-DK"/>
        </w:rPr>
      </w:pPr>
      <w:r w:rsidRPr="001B3808">
        <w:rPr>
          <w:rFonts w:ascii="Arial" w:hAnsi="Arial" w:cs="Arial"/>
          <w:bCs/>
          <w:sz w:val="20"/>
          <w:szCs w:val="20"/>
          <w:lang w:val="da-DK"/>
        </w:rPr>
        <w:t>COSEL PR-21:00</w:t>
      </w:r>
      <w:r w:rsidR="003157CE">
        <w:rPr>
          <w:rFonts w:ascii="Arial" w:hAnsi="Arial" w:cs="Arial"/>
          <w:bCs/>
          <w:sz w:val="20"/>
          <w:szCs w:val="20"/>
          <w:lang w:val="da-DK"/>
        </w:rPr>
        <w:t>8_AEA1000F</w:t>
      </w:r>
      <w:r w:rsidRPr="001B3808">
        <w:rPr>
          <w:rFonts w:ascii="Arial" w:hAnsi="Arial" w:cs="Arial"/>
          <w:bCs/>
          <w:sz w:val="20"/>
          <w:szCs w:val="20"/>
          <w:lang w:val="da-DK"/>
        </w:rPr>
        <w:t>_EN</w:t>
      </w:r>
    </w:p>
    <w:p w14:paraId="50CD03C6" w14:textId="0E9A478E" w:rsidR="00C95C42" w:rsidRPr="001B3808" w:rsidRDefault="00C95C42" w:rsidP="00911B16">
      <w:pPr>
        <w:ind w:right="877"/>
        <w:rPr>
          <w:rFonts w:asciiTheme="majorHAnsi" w:hAnsiTheme="majorHAnsi" w:cstheme="majorHAnsi"/>
          <w:sz w:val="24"/>
          <w:szCs w:val="20"/>
          <w:lang w:val="da-DK"/>
        </w:rPr>
      </w:pPr>
    </w:p>
    <w:sectPr w:rsidR="00C95C42" w:rsidRPr="001B3808" w:rsidSect="00901436">
      <w:headerReference w:type="default" r:id="rId11"/>
      <w:footerReference w:type="default" r:id="rId12"/>
      <w:pgSz w:w="11906" w:h="16838" w:code="9"/>
      <w:pgMar w:top="720" w:right="720" w:bottom="720" w:left="2693" w:header="2268"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CD6A9F" w14:textId="77777777" w:rsidR="00FE6CB3" w:rsidRDefault="00FE6CB3" w:rsidP="00346F8D">
      <w:pPr>
        <w:spacing w:after="0" w:line="240" w:lineRule="auto"/>
      </w:pPr>
      <w:r>
        <w:separator/>
      </w:r>
    </w:p>
  </w:endnote>
  <w:endnote w:type="continuationSeparator" w:id="0">
    <w:p w14:paraId="092BC3A1" w14:textId="77777777" w:rsidR="00FE6CB3" w:rsidRDefault="00FE6CB3" w:rsidP="00346F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A929D" w14:textId="6A78CB35" w:rsidR="00331A60" w:rsidRDefault="00901436" w:rsidP="00E415B1">
    <w:pPr>
      <w:ind w:left="1985" w:right="877"/>
      <w:jc w:val="right"/>
      <w:rPr>
        <w:rFonts w:asciiTheme="majorHAnsi" w:hAnsiTheme="majorHAnsi" w:cstheme="majorHAnsi"/>
        <w:sz w:val="18"/>
        <w:szCs w:val="20"/>
      </w:rPr>
    </w:pPr>
    <w:r w:rsidRPr="00901436">
      <w:rPr>
        <w:rFonts w:asciiTheme="majorHAnsi" w:hAnsiTheme="majorHAnsi" w:cstheme="majorHAnsi"/>
        <w:sz w:val="18"/>
        <w:szCs w:val="20"/>
      </w:rPr>
      <w:t>COSEL PR-21:00</w:t>
    </w:r>
    <w:r w:rsidR="003157CE">
      <w:rPr>
        <w:rFonts w:asciiTheme="majorHAnsi" w:hAnsiTheme="majorHAnsi" w:cstheme="majorHAnsi"/>
        <w:sz w:val="18"/>
        <w:szCs w:val="20"/>
      </w:rPr>
      <w:t>8_AEA1000F</w:t>
    </w:r>
    <w:r w:rsidRPr="00901436">
      <w:rPr>
        <w:rFonts w:asciiTheme="majorHAnsi" w:hAnsiTheme="majorHAnsi" w:cstheme="majorHAnsi"/>
        <w:sz w:val="18"/>
        <w:szCs w:val="20"/>
      </w:rPr>
      <w:t>_EN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F276A3" w14:textId="77777777" w:rsidR="00FE6CB3" w:rsidRDefault="00FE6CB3" w:rsidP="00346F8D">
      <w:pPr>
        <w:spacing w:after="0" w:line="240" w:lineRule="auto"/>
      </w:pPr>
      <w:r>
        <w:separator/>
      </w:r>
    </w:p>
  </w:footnote>
  <w:footnote w:type="continuationSeparator" w:id="0">
    <w:p w14:paraId="052D09FD" w14:textId="77777777" w:rsidR="00FE6CB3" w:rsidRDefault="00FE6CB3" w:rsidP="00346F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291A1" w14:textId="191BB22C" w:rsidR="00331A60" w:rsidRDefault="00331A60">
    <w:pPr>
      <w:pStyle w:val="Header"/>
    </w:pPr>
    <w:r>
      <w:rPr>
        <w:noProof/>
      </w:rPr>
      <w:drawing>
        <wp:anchor distT="0" distB="0" distL="114300" distR="114300" simplePos="0" relativeHeight="251659264" behindDoc="0" locked="0" layoutInCell="1" allowOverlap="1" wp14:anchorId="315D8842" wp14:editId="296F6B29">
          <wp:simplePos x="0" y="0"/>
          <wp:positionH relativeFrom="column">
            <wp:posOffset>-1166495</wp:posOffset>
          </wp:positionH>
          <wp:positionV relativeFrom="paragraph">
            <wp:posOffset>-806450</wp:posOffset>
          </wp:positionV>
          <wp:extent cx="1634400" cy="507600"/>
          <wp:effectExtent l="0" t="0" r="4445"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sel-logo-blue2.jpg"/>
                  <pic:cNvPicPr/>
                </pic:nvPicPr>
                <pic:blipFill>
                  <a:blip r:embed="rId1">
                    <a:extLst>
                      <a:ext uri="{28A0092B-C50C-407E-A947-70E740481C1C}">
                        <a14:useLocalDpi xmlns:a14="http://schemas.microsoft.com/office/drawing/2010/main" val="0"/>
                      </a:ext>
                    </a:extLst>
                  </a:blip>
                  <a:stretch>
                    <a:fillRect/>
                  </a:stretch>
                </pic:blipFill>
                <pic:spPr>
                  <a:xfrm>
                    <a:off x="0" y="0"/>
                    <a:ext cx="1634400" cy="507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D4A7B"/>
    <w:multiLevelType w:val="hybridMultilevel"/>
    <w:tmpl w:val="489851AE"/>
    <w:lvl w:ilvl="0" w:tplc="04090001">
      <w:start w:val="1"/>
      <w:numFmt w:val="bullet"/>
      <w:lvlText w:val=""/>
      <w:lvlJc w:val="left"/>
      <w:pPr>
        <w:ind w:left="2705" w:hanging="360"/>
      </w:pPr>
      <w:rPr>
        <w:rFonts w:ascii="Symbol" w:hAnsi="Symbol" w:hint="default"/>
      </w:rPr>
    </w:lvl>
    <w:lvl w:ilvl="1" w:tplc="04090003" w:tentative="1">
      <w:start w:val="1"/>
      <w:numFmt w:val="bullet"/>
      <w:lvlText w:val="o"/>
      <w:lvlJc w:val="left"/>
      <w:pPr>
        <w:ind w:left="3425" w:hanging="360"/>
      </w:pPr>
      <w:rPr>
        <w:rFonts w:ascii="Courier New" w:hAnsi="Courier New" w:cs="Courier New" w:hint="default"/>
      </w:rPr>
    </w:lvl>
    <w:lvl w:ilvl="2" w:tplc="04090005" w:tentative="1">
      <w:start w:val="1"/>
      <w:numFmt w:val="bullet"/>
      <w:lvlText w:val=""/>
      <w:lvlJc w:val="left"/>
      <w:pPr>
        <w:ind w:left="4145" w:hanging="360"/>
      </w:pPr>
      <w:rPr>
        <w:rFonts w:ascii="Wingdings" w:hAnsi="Wingdings" w:hint="default"/>
      </w:rPr>
    </w:lvl>
    <w:lvl w:ilvl="3" w:tplc="04090001" w:tentative="1">
      <w:start w:val="1"/>
      <w:numFmt w:val="bullet"/>
      <w:lvlText w:val=""/>
      <w:lvlJc w:val="left"/>
      <w:pPr>
        <w:ind w:left="4865" w:hanging="360"/>
      </w:pPr>
      <w:rPr>
        <w:rFonts w:ascii="Symbol" w:hAnsi="Symbol" w:hint="default"/>
      </w:rPr>
    </w:lvl>
    <w:lvl w:ilvl="4" w:tplc="04090003" w:tentative="1">
      <w:start w:val="1"/>
      <w:numFmt w:val="bullet"/>
      <w:lvlText w:val="o"/>
      <w:lvlJc w:val="left"/>
      <w:pPr>
        <w:ind w:left="5585" w:hanging="360"/>
      </w:pPr>
      <w:rPr>
        <w:rFonts w:ascii="Courier New" w:hAnsi="Courier New" w:cs="Courier New" w:hint="default"/>
      </w:rPr>
    </w:lvl>
    <w:lvl w:ilvl="5" w:tplc="04090005" w:tentative="1">
      <w:start w:val="1"/>
      <w:numFmt w:val="bullet"/>
      <w:lvlText w:val=""/>
      <w:lvlJc w:val="left"/>
      <w:pPr>
        <w:ind w:left="6305" w:hanging="360"/>
      </w:pPr>
      <w:rPr>
        <w:rFonts w:ascii="Wingdings" w:hAnsi="Wingdings" w:hint="default"/>
      </w:rPr>
    </w:lvl>
    <w:lvl w:ilvl="6" w:tplc="04090001" w:tentative="1">
      <w:start w:val="1"/>
      <w:numFmt w:val="bullet"/>
      <w:lvlText w:val=""/>
      <w:lvlJc w:val="left"/>
      <w:pPr>
        <w:ind w:left="7025" w:hanging="360"/>
      </w:pPr>
      <w:rPr>
        <w:rFonts w:ascii="Symbol" w:hAnsi="Symbol" w:hint="default"/>
      </w:rPr>
    </w:lvl>
    <w:lvl w:ilvl="7" w:tplc="04090003" w:tentative="1">
      <w:start w:val="1"/>
      <w:numFmt w:val="bullet"/>
      <w:lvlText w:val="o"/>
      <w:lvlJc w:val="left"/>
      <w:pPr>
        <w:ind w:left="7745" w:hanging="360"/>
      </w:pPr>
      <w:rPr>
        <w:rFonts w:ascii="Courier New" w:hAnsi="Courier New" w:cs="Courier New" w:hint="default"/>
      </w:rPr>
    </w:lvl>
    <w:lvl w:ilvl="8" w:tplc="04090005" w:tentative="1">
      <w:start w:val="1"/>
      <w:numFmt w:val="bullet"/>
      <w:lvlText w:val=""/>
      <w:lvlJc w:val="left"/>
      <w:pPr>
        <w:ind w:left="8465" w:hanging="360"/>
      </w:pPr>
      <w:rPr>
        <w:rFonts w:ascii="Wingdings" w:hAnsi="Wingdings" w:hint="default"/>
      </w:rPr>
    </w:lvl>
  </w:abstractNum>
  <w:abstractNum w:abstractNumId="1" w15:restartNumberingAfterBreak="0">
    <w:nsid w:val="1F20577F"/>
    <w:multiLevelType w:val="hybridMultilevel"/>
    <w:tmpl w:val="EBB895E0"/>
    <w:lvl w:ilvl="0" w:tplc="04090001">
      <w:start w:val="1"/>
      <w:numFmt w:val="bullet"/>
      <w:lvlText w:val=""/>
      <w:lvlJc w:val="left"/>
      <w:pPr>
        <w:ind w:left="2705" w:hanging="360"/>
      </w:pPr>
      <w:rPr>
        <w:rFonts w:ascii="Symbol" w:hAnsi="Symbol" w:hint="default"/>
      </w:rPr>
    </w:lvl>
    <w:lvl w:ilvl="1" w:tplc="04090003" w:tentative="1">
      <w:start w:val="1"/>
      <w:numFmt w:val="bullet"/>
      <w:lvlText w:val="o"/>
      <w:lvlJc w:val="left"/>
      <w:pPr>
        <w:ind w:left="3425" w:hanging="360"/>
      </w:pPr>
      <w:rPr>
        <w:rFonts w:ascii="Courier New" w:hAnsi="Courier New" w:cs="Courier New" w:hint="default"/>
      </w:rPr>
    </w:lvl>
    <w:lvl w:ilvl="2" w:tplc="04090005" w:tentative="1">
      <w:start w:val="1"/>
      <w:numFmt w:val="bullet"/>
      <w:lvlText w:val=""/>
      <w:lvlJc w:val="left"/>
      <w:pPr>
        <w:ind w:left="4145" w:hanging="360"/>
      </w:pPr>
      <w:rPr>
        <w:rFonts w:ascii="Wingdings" w:hAnsi="Wingdings" w:hint="default"/>
      </w:rPr>
    </w:lvl>
    <w:lvl w:ilvl="3" w:tplc="04090001" w:tentative="1">
      <w:start w:val="1"/>
      <w:numFmt w:val="bullet"/>
      <w:lvlText w:val=""/>
      <w:lvlJc w:val="left"/>
      <w:pPr>
        <w:ind w:left="4865" w:hanging="360"/>
      </w:pPr>
      <w:rPr>
        <w:rFonts w:ascii="Symbol" w:hAnsi="Symbol" w:hint="default"/>
      </w:rPr>
    </w:lvl>
    <w:lvl w:ilvl="4" w:tplc="04090003" w:tentative="1">
      <w:start w:val="1"/>
      <w:numFmt w:val="bullet"/>
      <w:lvlText w:val="o"/>
      <w:lvlJc w:val="left"/>
      <w:pPr>
        <w:ind w:left="5585" w:hanging="360"/>
      </w:pPr>
      <w:rPr>
        <w:rFonts w:ascii="Courier New" w:hAnsi="Courier New" w:cs="Courier New" w:hint="default"/>
      </w:rPr>
    </w:lvl>
    <w:lvl w:ilvl="5" w:tplc="04090005" w:tentative="1">
      <w:start w:val="1"/>
      <w:numFmt w:val="bullet"/>
      <w:lvlText w:val=""/>
      <w:lvlJc w:val="left"/>
      <w:pPr>
        <w:ind w:left="6305" w:hanging="360"/>
      </w:pPr>
      <w:rPr>
        <w:rFonts w:ascii="Wingdings" w:hAnsi="Wingdings" w:hint="default"/>
      </w:rPr>
    </w:lvl>
    <w:lvl w:ilvl="6" w:tplc="04090001" w:tentative="1">
      <w:start w:val="1"/>
      <w:numFmt w:val="bullet"/>
      <w:lvlText w:val=""/>
      <w:lvlJc w:val="left"/>
      <w:pPr>
        <w:ind w:left="7025" w:hanging="360"/>
      </w:pPr>
      <w:rPr>
        <w:rFonts w:ascii="Symbol" w:hAnsi="Symbol" w:hint="default"/>
      </w:rPr>
    </w:lvl>
    <w:lvl w:ilvl="7" w:tplc="04090003" w:tentative="1">
      <w:start w:val="1"/>
      <w:numFmt w:val="bullet"/>
      <w:lvlText w:val="o"/>
      <w:lvlJc w:val="left"/>
      <w:pPr>
        <w:ind w:left="7745" w:hanging="360"/>
      </w:pPr>
      <w:rPr>
        <w:rFonts w:ascii="Courier New" w:hAnsi="Courier New" w:cs="Courier New" w:hint="default"/>
      </w:rPr>
    </w:lvl>
    <w:lvl w:ilvl="8" w:tplc="04090005" w:tentative="1">
      <w:start w:val="1"/>
      <w:numFmt w:val="bullet"/>
      <w:lvlText w:val=""/>
      <w:lvlJc w:val="left"/>
      <w:pPr>
        <w:ind w:left="8465" w:hanging="360"/>
      </w:pPr>
      <w:rPr>
        <w:rFonts w:ascii="Wingdings" w:hAnsi="Wingdings" w:hint="default"/>
      </w:rPr>
    </w:lvl>
  </w:abstractNum>
  <w:abstractNum w:abstractNumId="2" w15:restartNumberingAfterBreak="0">
    <w:nsid w:val="782907B3"/>
    <w:multiLevelType w:val="hybridMultilevel"/>
    <w:tmpl w:val="2ACC3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bordersDoNotSurroundHeader/>
  <w:bordersDoNotSurroundFooter/>
  <w:proofState w:spelling="clean"/>
  <w:defaultTabStop w:val="720"/>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46F8D"/>
    <w:rsid w:val="000051A1"/>
    <w:rsid w:val="0003172F"/>
    <w:rsid w:val="00036AA2"/>
    <w:rsid w:val="00037A4B"/>
    <w:rsid w:val="00040498"/>
    <w:rsid w:val="00041AA4"/>
    <w:rsid w:val="00042B31"/>
    <w:rsid w:val="00051DCF"/>
    <w:rsid w:val="0006106E"/>
    <w:rsid w:val="00072EFD"/>
    <w:rsid w:val="0008218C"/>
    <w:rsid w:val="000858D2"/>
    <w:rsid w:val="000B417E"/>
    <w:rsid w:val="000B512F"/>
    <w:rsid w:val="000B5924"/>
    <w:rsid w:val="000B7476"/>
    <w:rsid w:val="000B7E7B"/>
    <w:rsid w:val="000E29A2"/>
    <w:rsid w:val="000F41DF"/>
    <w:rsid w:val="000F695B"/>
    <w:rsid w:val="0010163E"/>
    <w:rsid w:val="0010238F"/>
    <w:rsid w:val="001109B0"/>
    <w:rsid w:val="001149AB"/>
    <w:rsid w:val="00123B50"/>
    <w:rsid w:val="001369C2"/>
    <w:rsid w:val="00141DFE"/>
    <w:rsid w:val="00143070"/>
    <w:rsid w:val="0016161A"/>
    <w:rsid w:val="00162858"/>
    <w:rsid w:val="00167103"/>
    <w:rsid w:val="001708E9"/>
    <w:rsid w:val="00177F80"/>
    <w:rsid w:val="00180299"/>
    <w:rsid w:val="00193395"/>
    <w:rsid w:val="001A46D2"/>
    <w:rsid w:val="001A4A5D"/>
    <w:rsid w:val="001A7568"/>
    <w:rsid w:val="001B3808"/>
    <w:rsid w:val="001B4290"/>
    <w:rsid w:val="001B79C9"/>
    <w:rsid w:val="001C1718"/>
    <w:rsid w:val="001C298D"/>
    <w:rsid w:val="001C6942"/>
    <w:rsid w:val="001D3418"/>
    <w:rsid w:val="001E1931"/>
    <w:rsid w:val="001E614B"/>
    <w:rsid w:val="001E76A1"/>
    <w:rsid w:val="002031A4"/>
    <w:rsid w:val="00235FDA"/>
    <w:rsid w:val="0025370E"/>
    <w:rsid w:val="002578EE"/>
    <w:rsid w:val="0027076F"/>
    <w:rsid w:val="00271AFF"/>
    <w:rsid w:val="0027405A"/>
    <w:rsid w:val="002763C6"/>
    <w:rsid w:val="002823F9"/>
    <w:rsid w:val="002931F1"/>
    <w:rsid w:val="002A424B"/>
    <w:rsid w:val="002A6867"/>
    <w:rsid w:val="002A7809"/>
    <w:rsid w:val="002C09BC"/>
    <w:rsid w:val="002F6E31"/>
    <w:rsid w:val="003002D4"/>
    <w:rsid w:val="00301E11"/>
    <w:rsid w:val="003069B5"/>
    <w:rsid w:val="00314E02"/>
    <w:rsid w:val="003157CE"/>
    <w:rsid w:val="00327A2A"/>
    <w:rsid w:val="00327D8F"/>
    <w:rsid w:val="00331A60"/>
    <w:rsid w:val="0033294B"/>
    <w:rsid w:val="00346F8D"/>
    <w:rsid w:val="0035256D"/>
    <w:rsid w:val="003548FE"/>
    <w:rsid w:val="00362FA3"/>
    <w:rsid w:val="0038246E"/>
    <w:rsid w:val="00390365"/>
    <w:rsid w:val="003A3645"/>
    <w:rsid w:val="003A7EA8"/>
    <w:rsid w:val="003C2BFD"/>
    <w:rsid w:val="003C6AE1"/>
    <w:rsid w:val="003D1291"/>
    <w:rsid w:val="003D2137"/>
    <w:rsid w:val="003F3125"/>
    <w:rsid w:val="003F3F46"/>
    <w:rsid w:val="0040257E"/>
    <w:rsid w:val="00420E57"/>
    <w:rsid w:val="004213E4"/>
    <w:rsid w:val="00423EEF"/>
    <w:rsid w:val="004249CB"/>
    <w:rsid w:val="00427510"/>
    <w:rsid w:val="00430DA8"/>
    <w:rsid w:val="004336E5"/>
    <w:rsid w:val="00433E91"/>
    <w:rsid w:val="00452243"/>
    <w:rsid w:val="0045674E"/>
    <w:rsid w:val="0046031F"/>
    <w:rsid w:val="00461F35"/>
    <w:rsid w:val="00463ACE"/>
    <w:rsid w:val="00467DF2"/>
    <w:rsid w:val="00477386"/>
    <w:rsid w:val="00477CD1"/>
    <w:rsid w:val="0048706A"/>
    <w:rsid w:val="0049568D"/>
    <w:rsid w:val="004A5BAB"/>
    <w:rsid w:val="004C0CD3"/>
    <w:rsid w:val="004C1798"/>
    <w:rsid w:val="004C4293"/>
    <w:rsid w:val="004D296F"/>
    <w:rsid w:val="004D7537"/>
    <w:rsid w:val="004E08E5"/>
    <w:rsid w:val="004E4477"/>
    <w:rsid w:val="004F007F"/>
    <w:rsid w:val="0050099E"/>
    <w:rsid w:val="00502198"/>
    <w:rsid w:val="0051075D"/>
    <w:rsid w:val="005205BA"/>
    <w:rsid w:val="00521AA6"/>
    <w:rsid w:val="00524C62"/>
    <w:rsid w:val="00525CB1"/>
    <w:rsid w:val="00534E08"/>
    <w:rsid w:val="005353A2"/>
    <w:rsid w:val="00537EEB"/>
    <w:rsid w:val="00570FD6"/>
    <w:rsid w:val="00574CE7"/>
    <w:rsid w:val="00580F19"/>
    <w:rsid w:val="0058570F"/>
    <w:rsid w:val="00593A26"/>
    <w:rsid w:val="00597E18"/>
    <w:rsid w:val="005A5ACD"/>
    <w:rsid w:val="005A6D9D"/>
    <w:rsid w:val="005B4604"/>
    <w:rsid w:val="005C21CE"/>
    <w:rsid w:val="005D4471"/>
    <w:rsid w:val="005D638F"/>
    <w:rsid w:val="005E1AFC"/>
    <w:rsid w:val="005F235A"/>
    <w:rsid w:val="005F61BC"/>
    <w:rsid w:val="005F62F1"/>
    <w:rsid w:val="00611C62"/>
    <w:rsid w:val="00620547"/>
    <w:rsid w:val="00624C49"/>
    <w:rsid w:val="00625A31"/>
    <w:rsid w:val="00626FBE"/>
    <w:rsid w:val="0063399F"/>
    <w:rsid w:val="00634942"/>
    <w:rsid w:val="006423D1"/>
    <w:rsid w:val="00662227"/>
    <w:rsid w:val="00672BFE"/>
    <w:rsid w:val="00696ABA"/>
    <w:rsid w:val="006A181D"/>
    <w:rsid w:val="006A52CB"/>
    <w:rsid w:val="006B65EF"/>
    <w:rsid w:val="006E3BC5"/>
    <w:rsid w:val="006F54A3"/>
    <w:rsid w:val="006F603E"/>
    <w:rsid w:val="007050E8"/>
    <w:rsid w:val="00706A1C"/>
    <w:rsid w:val="007101A0"/>
    <w:rsid w:val="00713BA6"/>
    <w:rsid w:val="00713C6A"/>
    <w:rsid w:val="00714656"/>
    <w:rsid w:val="007242FD"/>
    <w:rsid w:val="00730C65"/>
    <w:rsid w:val="0074085F"/>
    <w:rsid w:val="00741477"/>
    <w:rsid w:val="007509D8"/>
    <w:rsid w:val="0077424F"/>
    <w:rsid w:val="00785FB4"/>
    <w:rsid w:val="00793E39"/>
    <w:rsid w:val="00794A89"/>
    <w:rsid w:val="0079679F"/>
    <w:rsid w:val="007A7A67"/>
    <w:rsid w:val="007C04B2"/>
    <w:rsid w:val="007D3A8E"/>
    <w:rsid w:val="007D3E88"/>
    <w:rsid w:val="007D5861"/>
    <w:rsid w:val="007F1FC3"/>
    <w:rsid w:val="008015A8"/>
    <w:rsid w:val="008306AD"/>
    <w:rsid w:val="008313F4"/>
    <w:rsid w:val="00850F5D"/>
    <w:rsid w:val="00857F04"/>
    <w:rsid w:val="00876C48"/>
    <w:rsid w:val="00882432"/>
    <w:rsid w:val="00892D54"/>
    <w:rsid w:val="0089562A"/>
    <w:rsid w:val="008A0E19"/>
    <w:rsid w:val="008A78F5"/>
    <w:rsid w:val="008B04C1"/>
    <w:rsid w:val="008B3914"/>
    <w:rsid w:val="008B4030"/>
    <w:rsid w:val="008B63F4"/>
    <w:rsid w:val="008C0F48"/>
    <w:rsid w:val="008C4458"/>
    <w:rsid w:val="008C4A3D"/>
    <w:rsid w:val="008D0289"/>
    <w:rsid w:val="008D1D34"/>
    <w:rsid w:val="008F3FC7"/>
    <w:rsid w:val="008F620B"/>
    <w:rsid w:val="00901436"/>
    <w:rsid w:val="00901EAD"/>
    <w:rsid w:val="00911B16"/>
    <w:rsid w:val="00916926"/>
    <w:rsid w:val="00946492"/>
    <w:rsid w:val="009509D0"/>
    <w:rsid w:val="00964267"/>
    <w:rsid w:val="00965B2B"/>
    <w:rsid w:val="00973242"/>
    <w:rsid w:val="00982248"/>
    <w:rsid w:val="009921C6"/>
    <w:rsid w:val="009A5B89"/>
    <w:rsid w:val="009A7A88"/>
    <w:rsid w:val="009D21B4"/>
    <w:rsid w:val="009D5F69"/>
    <w:rsid w:val="009E24A9"/>
    <w:rsid w:val="009F5112"/>
    <w:rsid w:val="009F5DEA"/>
    <w:rsid w:val="00A046B6"/>
    <w:rsid w:val="00A166F6"/>
    <w:rsid w:val="00A207CD"/>
    <w:rsid w:val="00A30F85"/>
    <w:rsid w:val="00A32F98"/>
    <w:rsid w:val="00A63384"/>
    <w:rsid w:val="00A64DF6"/>
    <w:rsid w:val="00A96336"/>
    <w:rsid w:val="00AA5978"/>
    <w:rsid w:val="00AA7A26"/>
    <w:rsid w:val="00AA7EAE"/>
    <w:rsid w:val="00AB1A5C"/>
    <w:rsid w:val="00AD21FB"/>
    <w:rsid w:val="00AD333A"/>
    <w:rsid w:val="00AF0829"/>
    <w:rsid w:val="00B110F5"/>
    <w:rsid w:val="00B237E8"/>
    <w:rsid w:val="00B23ECC"/>
    <w:rsid w:val="00B355C3"/>
    <w:rsid w:val="00B35B95"/>
    <w:rsid w:val="00B4592E"/>
    <w:rsid w:val="00B52EB2"/>
    <w:rsid w:val="00B60586"/>
    <w:rsid w:val="00B961DC"/>
    <w:rsid w:val="00BA6273"/>
    <w:rsid w:val="00BB2F27"/>
    <w:rsid w:val="00BD0D41"/>
    <w:rsid w:val="00BD36F4"/>
    <w:rsid w:val="00BE794B"/>
    <w:rsid w:val="00BF16F6"/>
    <w:rsid w:val="00BF39B6"/>
    <w:rsid w:val="00BF686A"/>
    <w:rsid w:val="00C26707"/>
    <w:rsid w:val="00C479DE"/>
    <w:rsid w:val="00C53B63"/>
    <w:rsid w:val="00C57872"/>
    <w:rsid w:val="00C86986"/>
    <w:rsid w:val="00C95C42"/>
    <w:rsid w:val="00C979FA"/>
    <w:rsid w:val="00CA4511"/>
    <w:rsid w:val="00CA4E3E"/>
    <w:rsid w:val="00CB63D4"/>
    <w:rsid w:val="00CC1992"/>
    <w:rsid w:val="00CD7877"/>
    <w:rsid w:val="00CE1246"/>
    <w:rsid w:val="00D11CF7"/>
    <w:rsid w:val="00D20B52"/>
    <w:rsid w:val="00D21130"/>
    <w:rsid w:val="00D21EC8"/>
    <w:rsid w:val="00D2376B"/>
    <w:rsid w:val="00D26C75"/>
    <w:rsid w:val="00D31CD4"/>
    <w:rsid w:val="00D358E9"/>
    <w:rsid w:val="00D36126"/>
    <w:rsid w:val="00D50264"/>
    <w:rsid w:val="00D50CFE"/>
    <w:rsid w:val="00D772B0"/>
    <w:rsid w:val="00D81666"/>
    <w:rsid w:val="00D90070"/>
    <w:rsid w:val="00DA2DFA"/>
    <w:rsid w:val="00DA2EC0"/>
    <w:rsid w:val="00DA6A3A"/>
    <w:rsid w:val="00DB136B"/>
    <w:rsid w:val="00DC0ED2"/>
    <w:rsid w:val="00DD000D"/>
    <w:rsid w:val="00DD6467"/>
    <w:rsid w:val="00DF49AA"/>
    <w:rsid w:val="00E0280B"/>
    <w:rsid w:val="00E07378"/>
    <w:rsid w:val="00E2327B"/>
    <w:rsid w:val="00E23B17"/>
    <w:rsid w:val="00E34DD9"/>
    <w:rsid w:val="00E415B1"/>
    <w:rsid w:val="00E46460"/>
    <w:rsid w:val="00E53D5A"/>
    <w:rsid w:val="00E704D9"/>
    <w:rsid w:val="00E74016"/>
    <w:rsid w:val="00E779B0"/>
    <w:rsid w:val="00E9592A"/>
    <w:rsid w:val="00E96E67"/>
    <w:rsid w:val="00EA10AF"/>
    <w:rsid w:val="00EA18EB"/>
    <w:rsid w:val="00EA2AEB"/>
    <w:rsid w:val="00EA3BFA"/>
    <w:rsid w:val="00EA3CF9"/>
    <w:rsid w:val="00EA6720"/>
    <w:rsid w:val="00EB3B51"/>
    <w:rsid w:val="00EC423A"/>
    <w:rsid w:val="00ED080F"/>
    <w:rsid w:val="00ED4E0C"/>
    <w:rsid w:val="00EF7847"/>
    <w:rsid w:val="00F01546"/>
    <w:rsid w:val="00F06A44"/>
    <w:rsid w:val="00F1420A"/>
    <w:rsid w:val="00F30AFF"/>
    <w:rsid w:val="00F32452"/>
    <w:rsid w:val="00F464CF"/>
    <w:rsid w:val="00F5175B"/>
    <w:rsid w:val="00F71A17"/>
    <w:rsid w:val="00F96B88"/>
    <w:rsid w:val="00FA1A55"/>
    <w:rsid w:val="00FB153C"/>
    <w:rsid w:val="00FB1D92"/>
    <w:rsid w:val="00FB59AE"/>
    <w:rsid w:val="00FC1870"/>
    <w:rsid w:val="00FC3FD5"/>
    <w:rsid w:val="00FD5515"/>
    <w:rsid w:val="00FE0466"/>
    <w:rsid w:val="00FE6C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14982946"/>
  <w15:docId w15:val="{0306C890-6F26-43DA-A306-BBF5EE072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6F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6F8D"/>
  </w:style>
  <w:style w:type="paragraph" w:styleId="Footer">
    <w:name w:val="footer"/>
    <w:basedOn w:val="Normal"/>
    <w:link w:val="FooterChar"/>
    <w:uiPriority w:val="99"/>
    <w:unhideWhenUsed/>
    <w:rsid w:val="00346F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6F8D"/>
  </w:style>
  <w:style w:type="table" w:styleId="TableGrid">
    <w:name w:val="Table Grid"/>
    <w:basedOn w:val="TableNormal"/>
    <w:uiPriority w:val="39"/>
    <w:rsid w:val="00876C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6161A"/>
    <w:rPr>
      <w:color w:val="0563C1" w:themeColor="hyperlink"/>
      <w:u w:val="single"/>
    </w:rPr>
  </w:style>
  <w:style w:type="paragraph" w:styleId="BalloonText">
    <w:name w:val="Balloon Text"/>
    <w:basedOn w:val="Normal"/>
    <w:link w:val="BalloonTextChar"/>
    <w:uiPriority w:val="99"/>
    <w:semiHidden/>
    <w:unhideWhenUsed/>
    <w:rsid w:val="003F31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3125"/>
    <w:rPr>
      <w:rFonts w:ascii="Segoe UI" w:hAnsi="Segoe UI" w:cs="Segoe UI"/>
      <w:sz w:val="18"/>
      <w:szCs w:val="18"/>
    </w:rPr>
  </w:style>
  <w:style w:type="paragraph" w:styleId="ListParagraph">
    <w:name w:val="List Paragraph"/>
    <w:basedOn w:val="Normal"/>
    <w:uiPriority w:val="34"/>
    <w:qFormat/>
    <w:rsid w:val="00A32F98"/>
    <w:pPr>
      <w:ind w:left="720"/>
      <w:contextualSpacing/>
    </w:pPr>
  </w:style>
  <w:style w:type="character" w:styleId="UnresolvedMention">
    <w:name w:val="Unresolved Mention"/>
    <w:basedOn w:val="DefaultParagraphFont"/>
    <w:uiPriority w:val="99"/>
    <w:semiHidden/>
    <w:unhideWhenUsed/>
    <w:rsid w:val="00FC3F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cosel.co.jp/product/powersupply/AEA/"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mailto:sales@coselasia.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4</Pages>
  <Words>980</Words>
  <Characters>5589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COSEL announces free-air convection cooled open-frame power supplies with 200% peak-power for industrial applications</vt:lpstr>
    </vt:vector>
  </TitlesOfParts>
  <Company>COSEL</Company>
  <LinksUpToDate>false</LinksUpToDate>
  <CharactersWithSpaces>6556</CharactersWithSpaces>
  <SharedDoc>false</SharedDoc>
  <HyperlinkBase>https://en.cosel.co.jp</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COSEL announces 330% peak power 1kW open-frame power supplies for medical and industrial applications</dc:title>
  <dc:subject>New product</dc:subject>
  <dc:creator>patrick le fevre</dc:creator>
  <cp:keywords>COSEL, AEA1000F, 1000W, Medical, Industrial</cp:keywords>
  <dc:description/>
  <cp:lastModifiedBy>Patrick Le Fevre</cp:lastModifiedBy>
  <cp:revision>9</cp:revision>
  <cp:lastPrinted>2021-03-11T12:57:00Z</cp:lastPrinted>
  <dcterms:created xsi:type="dcterms:W3CDTF">2021-07-07T06:03:00Z</dcterms:created>
  <dcterms:modified xsi:type="dcterms:W3CDTF">2021-11-02T06:46:00Z</dcterms:modified>
  <cp:category>Press Release</cp:category>
  <cp:contentStatus>Final English</cp:contentStatus>
</cp:coreProperties>
</file>